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418C" w14:textId="1624D2F0" w:rsidR="000301E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 Release </w:t>
      </w:r>
      <w:r w:rsidR="00D306F7">
        <w:rPr>
          <w:b/>
          <w:sz w:val="24"/>
          <w:szCs w:val="24"/>
        </w:rPr>
        <w:t xml:space="preserve"> </w:t>
      </w:r>
    </w:p>
    <w:p w14:paraId="777D81E1" w14:textId="77777777" w:rsidR="000301E7" w:rsidRDefault="000301E7">
      <w:pPr>
        <w:jc w:val="center"/>
        <w:rPr>
          <w:b/>
          <w:sz w:val="24"/>
          <w:szCs w:val="24"/>
        </w:rPr>
      </w:pPr>
    </w:p>
    <w:p w14:paraId="1752130D" w14:textId="3B659E10" w:rsidR="006050C7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Aquaintech Inc. (AITI) </w:t>
      </w:r>
      <w:r w:rsidR="006050C7">
        <w:rPr>
          <w:sz w:val="24"/>
          <w:szCs w:val="24"/>
        </w:rPr>
        <w:t xml:space="preserve">was the first company </w:t>
      </w:r>
      <w:r>
        <w:rPr>
          <w:sz w:val="24"/>
          <w:szCs w:val="24"/>
        </w:rPr>
        <w:t>to successfully develop and market Bacillus spore tablets</w:t>
      </w:r>
      <w:r w:rsidR="006050C7">
        <w:rPr>
          <w:sz w:val="24"/>
          <w:szCs w:val="24"/>
        </w:rPr>
        <w:t xml:space="preserve"> for use in aquaculture</w:t>
      </w:r>
      <w:r>
        <w:rPr>
          <w:sz w:val="24"/>
          <w:szCs w:val="24"/>
        </w:rPr>
        <w:t>. PRO4000X</w:t>
      </w:r>
      <w:r w:rsidR="006050C7">
        <w:rPr>
          <w:sz w:val="24"/>
          <w:szCs w:val="24"/>
        </w:rPr>
        <w:t xml:space="preserve">, </w:t>
      </w:r>
      <w:r w:rsidR="00D306F7">
        <w:rPr>
          <w:sz w:val="24"/>
          <w:szCs w:val="24"/>
        </w:rPr>
        <w:t>our</w:t>
      </w:r>
      <w:r>
        <w:rPr>
          <w:sz w:val="24"/>
          <w:szCs w:val="24"/>
        </w:rPr>
        <w:t xml:space="preserve"> </w:t>
      </w:r>
      <w:r w:rsidR="006050C7">
        <w:rPr>
          <w:sz w:val="24"/>
          <w:szCs w:val="24"/>
        </w:rPr>
        <w:t>lead tableted</w:t>
      </w:r>
      <w:r>
        <w:rPr>
          <w:sz w:val="24"/>
          <w:szCs w:val="24"/>
        </w:rPr>
        <w:t xml:space="preserve"> product</w:t>
      </w:r>
      <w:r w:rsidR="00D0385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050C7">
        <w:rPr>
          <w:sz w:val="24"/>
          <w:szCs w:val="24"/>
        </w:rPr>
        <w:t>is widely used in hatcheries, RAS systems, shrimp and fishponds, reservoirs</w:t>
      </w:r>
      <w:r w:rsidR="00605BF6">
        <w:rPr>
          <w:sz w:val="24"/>
          <w:szCs w:val="24"/>
        </w:rPr>
        <w:t>,</w:t>
      </w:r>
      <w:r w:rsidR="006050C7">
        <w:rPr>
          <w:sz w:val="24"/>
          <w:szCs w:val="24"/>
        </w:rPr>
        <w:t xml:space="preserve"> and discharge and intake canals. </w:t>
      </w:r>
      <w:r w:rsidR="00D0385E">
        <w:rPr>
          <w:sz w:val="24"/>
          <w:szCs w:val="24"/>
        </w:rPr>
        <w:t xml:space="preserve">PRO4000X was designed to </w:t>
      </w:r>
      <w:r w:rsidR="006050C7">
        <w:rPr>
          <w:sz w:val="24"/>
          <w:szCs w:val="24"/>
        </w:rPr>
        <w:t>target pond bottoms</w:t>
      </w:r>
      <w:r w:rsidR="00D306F7">
        <w:rPr>
          <w:sz w:val="24"/>
          <w:szCs w:val="24"/>
        </w:rPr>
        <w:t>.</w:t>
      </w:r>
      <w:r w:rsidR="006050C7">
        <w:rPr>
          <w:sz w:val="24"/>
          <w:szCs w:val="24"/>
        </w:rPr>
        <w:t xml:space="preserve"> AITI</w:t>
      </w:r>
      <w:r>
        <w:rPr>
          <w:sz w:val="24"/>
          <w:szCs w:val="24"/>
        </w:rPr>
        <w:t xml:space="preserve"> is pleased to announce the addition of the TWC Bio-Block</w:t>
      </w:r>
      <w:r w:rsidR="006050C7">
        <w:rPr>
          <w:sz w:val="24"/>
          <w:szCs w:val="24"/>
        </w:rPr>
        <w:t xml:space="preserve"> (TBB) to its product line</w:t>
      </w:r>
      <w:r w:rsidR="00D0385E">
        <w:rPr>
          <w:sz w:val="24"/>
          <w:szCs w:val="24"/>
        </w:rPr>
        <w:t xml:space="preserve"> targeted for the water column.</w:t>
      </w:r>
      <w:r>
        <w:rPr>
          <w:sz w:val="24"/>
          <w:szCs w:val="24"/>
        </w:rPr>
        <w:t xml:space="preserve"> </w:t>
      </w:r>
    </w:p>
    <w:p w14:paraId="3290B789" w14:textId="77777777" w:rsidR="006050C7" w:rsidRDefault="006050C7">
      <w:pPr>
        <w:spacing w:line="276" w:lineRule="auto"/>
        <w:jc w:val="both"/>
        <w:rPr>
          <w:sz w:val="24"/>
          <w:szCs w:val="24"/>
        </w:rPr>
      </w:pPr>
    </w:p>
    <w:p w14:paraId="7DAA41A7" w14:textId="59E5495C" w:rsidR="000301E7" w:rsidRDefault="006050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TBBs are engineered to enhance the in-situ performance of probiotic bacteria. Each block contains a large internal surface area that allows bacteria to colonize, form biofilms and excrete a variety of enzymes and anti-microbial substances.  Studies have shown that the blocks hold large numbers of viable bacteria. </w:t>
      </w:r>
      <w:r w:rsidR="00D306F7">
        <w:rPr>
          <w:sz w:val="24"/>
          <w:szCs w:val="24"/>
        </w:rPr>
        <w:t>They</w:t>
      </w:r>
      <w:r>
        <w:rPr>
          <w:sz w:val="24"/>
          <w:szCs w:val="24"/>
        </w:rPr>
        <w:t xml:space="preserve"> can be placed in both shallow and deep ponds</w:t>
      </w:r>
      <w:r w:rsidR="00605BF6">
        <w:rPr>
          <w:sz w:val="24"/>
          <w:szCs w:val="24"/>
        </w:rPr>
        <w:t>,</w:t>
      </w:r>
      <w:r>
        <w:rPr>
          <w:sz w:val="24"/>
          <w:szCs w:val="24"/>
        </w:rPr>
        <w:t xml:space="preserve"> flowing bodies of water such as rivers</w:t>
      </w:r>
      <w:r w:rsidR="00605BF6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in cages</w:t>
      </w:r>
      <w:r w:rsidR="00D30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improve water quality with </w:t>
      </w:r>
      <w:r w:rsidR="000E152F">
        <w:rPr>
          <w:sz w:val="24"/>
          <w:szCs w:val="24"/>
        </w:rPr>
        <w:t>beneficial impacts</w:t>
      </w:r>
      <w:r>
        <w:rPr>
          <w:sz w:val="24"/>
          <w:szCs w:val="24"/>
        </w:rPr>
        <w:t xml:space="preserve"> </w:t>
      </w:r>
      <w:r w:rsidR="000E152F">
        <w:rPr>
          <w:sz w:val="24"/>
          <w:szCs w:val="24"/>
        </w:rPr>
        <w:t>on productivity</w:t>
      </w:r>
      <w:r>
        <w:rPr>
          <w:sz w:val="24"/>
          <w:szCs w:val="24"/>
        </w:rPr>
        <w:t xml:space="preserve">.  </w:t>
      </w:r>
    </w:p>
    <w:p w14:paraId="07A598A3" w14:textId="77777777" w:rsidR="000301E7" w:rsidRDefault="000301E7">
      <w:pPr>
        <w:spacing w:line="276" w:lineRule="auto"/>
        <w:rPr>
          <w:sz w:val="24"/>
          <w:szCs w:val="24"/>
        </w:rPr>
      </w:pPr>
    </w:p>
    <w:p w14:paraId="76DD4728" w14:textId="77777777" w:rsidR="000301E7" w:rsidRDefault="00000000">
      <w:pPr>
        <w:spacing w:line="276" w:lineRule="auto"/>
        <w:ind w:right="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7607DCA1" wp14:editId="26A7FA8F">
            <wp:extent cx="1985963" cy="1065318"/>
            <wp:effectExtent l="0" t="0" r="0" b="0"/>
            <wp:docPr id="1932476680" name="image3.jpg" descr="A black rectangular object with a design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black rectangular object with a design on i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65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FAE3D" w14:textId="77777777" w:rsidR="000301E7" w:rsidRDefault="000301E7">
      <w:pPr>
        <w:spacing w:line="276" w:lineRule="auto"/>
        <w:ind w:right="60"/>
        <w:jc w:val="center"/>
        <w:rPr>
          <w:sz w:val="24"/>
          <w:szCs w:val="24"/>
        </w:rPr>
      </w:pPr>
    </w:p>
    <w:p w14:paraId="68CC126E" w14:textId="4844C46F" w:rsidR="000301E7" w:rsidRDefault="00000000">
      <w:pPr>
        <w:spacing w:line="276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Bacillus species thrive in these blocks. They produce a potent array of enzymes that degrade organic matter and can favorably impact the microbiome in fish species and crustaceans. Increasing the levels of enzyme production has a number of positive benefits. By impacting nutrient loads they </w:t>
      </w:r>
      <w:r w:rsidR="00D306F7">
        <w:rPr>
          <w:sz w:val="24"/>
          <w:szCs w:val="24"/>
        </w:rPr>
        <w:t xml:space="preserve">impact water quality and </w:t>
      </w:r>
      <w:r w:rsidR="000E152F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alter the microbiome reducing the numbers of some potential pathogens. </w:t>
      </w:r>
    </w:p>
    <w:p w14:paraId="77EBEF9B" w14:textId="77777777" w:rsidR="000301E7" w:rsidRDefault="00000000">
      <w:pPr>
        <w:spacing w:line="276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15411DC" w14:textId="446DA773" w:rsidR="000301E7" w:rsidRDefault="00000000">
      <w:pPr>
        <w:spacing w:line="276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important factor to consider </w:t>
      </w:r>
      <w:r w:rsidR="000136AC">
        <w:rPr>
          <w:sz w:val="24"/>
          <w:szCs w:val="24"/>
        </w:rPr>
        <w:t>is</w:t>
      </w:r>
      <w:r>
        <w:rPr>
          <w:sz w:val="24"/>
          <w:szCs w:val="24"/>
        </w:rPr>
        <w:t xml:space="preserve"> the presence of natural oils, a result of their presence in feed and feces. </w:t>
      </w:r>
      <w:r w:rsidR="000136AC">
        <w:rPr>
          <w:sz w:val="24"/>
          <w:szCs w:val="24"/>
        </w:rPr>
        <w:t xml:space="preserve">Elevated </w:t>
      </w:r>
      <w:r>
        <w:rPr>
          <w:sz w:val="24"/>
          <w:szCs w:val="24"/>
        </w:rPr>
        <w:t>oil levels can create high surface tension</w:t>
      </w:r>
      <w:r w:rsidR="000136AC">
        <w:rPr>
          <w:sz w:val="24"/>
          <w:szCs w:val="24"/>
        </w:rPr>
        <w:t>s</w:t>
      </w:r>
      <w:r>
        <w:rPr>
          <w:sz w:val="24"/>
          <w:szCs w:val="24"/>
        </w:rPr>
        <w:t xml:space="preserve"> which can decrease oxygen levels in the water. The Bacillus </w:t>
      </w:r>
      <w:r w:rsidR="000E152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TWC Block convert these natural oils into amino acids. This reduces the surface tension, which allows for oxygen to penetrate the body of </w:t>
      </w:r>
      <w:r w:rsidR="000E152F">
        <w:rPr>
          <w:sz w:val="24"/>
          <w:szCs w:val="24"/>
        </w:rPr>
        <w:t>water providing the</w:t>
      </w:r>
      <w:r>
        <w:rPr>
          <w:sz w:val="24"/>
          <w:szCs w:val="24"/>
        </w:rPr>
        <w:t xml:space="preserve"> beneficial bacteria a boost to complete the nutrient cycle.</w:t>
      </w:r>
    </w:p>
    <w:p w14:paraId="013DE4D7" w14:textId="77777777" w:rsidR="000301E7" w:rsidRDefault="000301E7">
      <w:pPr>
        <w:spacing w:line="276" w:lineRule="auto"/>
        <w:ind w:right="60"/>
        <w:jc w:val="both"/>
        <w:rPr>
          <w:sz w:val="24"/>
          <w:szCs w:val="24"/>
        </w:rPr>
      </w:pPr>
    </w:p>
    <w:p w14:paraId="3E80BD42" w14:textId="70523A4C" w:rsidR="000301E7" w:rsidRDefault="00000000" w:rsidP="000136AC">
      <w:pPr>
        <w:spacing w:line="276" w:lineRule="auto"/>
        <w:ind w:right="60"/>
        <w:jc w:val="both"/>
        <w:rPr>
          <w:sz w:val="21"/>
          <w:szCs w:val="21"/>
        </w:rPr>
      </w:pPr>
      <w:r>
        <w:rPr>
          <w:sz w:val="24"/>
          <w:szCs w:val="24"/>
        </w:rPr>
        <w:t xml:space="preserve">Contact us for more information about the TWC block or how you can benefit from working with us. You can call us at 425-787-5218, </w:t>
      </w:r>
      <w:r w:rsidR="008B7ED0">
        <w:rPr>
          <w:sz w:val="24"/>
          <w:szCs w:val="24"/>
        </w:rPr>
        <w:t>E-</w:t>
      </w:r>
      <w:r>
        <w:rPr>
          <w:sz w:val="24"/>
          <w:szCs w:val="24"/>
        </w:rPr>
        <w:t>mail</w:t>
      </w:r>
      <w:r w:rsidR="008B7ED0">
        <w:rPr>
          <w:sz w:val="24"/>
          <w:szCs w:val="24"/>
        </w:rPr>
        <w:t>/WhatsApp</w:t>
      </w:r>
      <w:r>
        <w:rPr>
          <w:sz w:val="24"/>
          <w:szCs w:val="24"/>
        </w:rPr>
        <w:t xml:space="preserve"> us at </w:t>
      </w:r>
      <w:hyperlink r:id="rId8">
        <w:r w:rsidR="000301E7">
          <w:rPr>
            <w:color w:val="1155CC"/>
            <w:sz w:val="24"/>
            <w:szCs w:val="24"/>
            <w:u w:val="single"/>
          </w:rPr>
          <w:t>sgnewm@aqua-in-tech.com</w:t>
        </w:r>
      </w:hyperlink>
      <w:r w:rsidR="008B7ED0">
        <w:rPr>
          <w:color w:val="1155CC"/>
          <w:sz w:val="24"/>
          <w:szCs w:val="24"/>
          <w:u w:val="single"/>
        </w:rPr>
        <w:t>/1-425-239-7682</w:t>
      </w:r>
      <w:r>
        <w:rPr>
          <w:sz w:val="24"/>
          <w:szCs w:val="24"/>
        </w:rPr>
        <w:t xml:space="preserve"> </w:t>
      </w:r>
      <w:r w:rsidR="000136AC">
        <w:rPr>
          <w:sz w:val="24"/>
          <w:szCs w:val="24"/>
        </w:rPr>
        <w:t>and/</w:t>
      </w:r>
      <w:r>
        <w:rPr>
          <w:sz w:val="24"/>
          <w:szCs w:val="24"/>
        </w:rPr>
        <w:t xml:space="preserve">or </w:t>
      </w:r>
      <w:hyperlink r:id="rId9">
        <w:r w:rsidR="000301E7">
          <w:rPr>
            <w:color w:val="1155CC"/>
            <w:sz w:val="24"/>
            <w:szCs w:val="24"/>
            <w:u w:val="single"/>
          </w:rPr>
          <w:t>mrnewm@aqua-in-tech.com</w:t>
        </w:r>
      </w:hyperlink>
      <w:r w:rsidR="008B7ED0">
        <w:rPr>
          <w:color w:val="1155CC"/>
          <w:sz w:val="24"/>
          <w:szCs w:val="24"/>
          <w:u w:val="single"/>
        </w:rPr>
        <w:t>/1-206-963-4274</w:t>
      </w:r>
      <w:r w:rsidR="008B7ED0">
        <w:rPr>
          <w:sz w:val="24"/>
          <w:szCs w:val="24"/>
        </w:rPr>
        <w:t xml:space="preserve"> or v</w:t>
      </w:r>
      <w:r>
        <w:rPr>
          <w:sz w:val="24"/>
          <w:szCs w:val="24"/>
        </w:rPr>
        <w:t xml:space="preserve">isit our website at </w:t>
      </w:r>
      <w:hyperlink r:id="rId10">
        <w:r w:rsidR="000301E7">
          <w:rPr>
            <w:color w:val="1155CC"/>
            <w:sz w:val="24"/>
            <w:szCs w:val="24"/>
            <w:u w:val="single"/>
          </w:rPr>
          <w:t>www.aqua-in-tech.com</w:t>
        </w:r>
      </w:hyperlink>
      <w:r w:rsidR="000136AC">
        <w:rPr>
          <w:sz w:val="24"/>
          <w:szCs w:val="24"/>
        </w:rPr>
        <w:t xml:space="preserve">.  </w:t>
      </w:r>
      <w:r>
        <w:rPr>
          <w:sz w:val="24"/>
          <w:szCs w:val="24"/>
        </w:rPr>
        <w:t>Distributor inquiries welcome.</w:t>
      </w:r>
    </w:p>
    <w:p w14:paraId="4443BF1F" w14:textId="77777777" w:rsidR="000301E7" w:rsidRDefault="000301E7">
      <w:pPr>
        <w:widowControl w:val="0"/>
        <w:spacing w:line="244" w:lineRule="auto"/>
        <w:rPr>
          <w:sz w:val="21"/>
          <w:szCs w:val="21"/>
        </w:rPr>
      </w:pPr>
    </w:p>
    <w:sectPr w:rsidR="000301E7">
      <w:headerReference w:type="default" r:id="rId11"/>
      <w:footerReference w:type="default" r:id="rId12"/>
      <w:pgSz w:w="12240" w:h="15840"/>
      <w:pgMar w:top="1425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4076" w14:textId="77777777" w:rsidR="00D26326" w:rsidRDefault="00D26326">
      <w:r>
        <w:separator/>
      </w:r>
    </w:p>
  </w:endnote>
  <w:endnote w:type="continuationSeparator" w:id="0">
    <w:p w14:paraId="4D794AA0" w14:textId="77777777" w:rsidR="00D26326" w:rsidRDefault="00D2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F74B" w14:textId="77777777" w:rsidR="000301E7" w:rsidRDefault="00000000">
    <w:pPr>
      <w:widowControl w:val="0"/>
      <w:spacing w:line="238" w:lineRule="auto"/>
    </w:pPr>
    <w:r>
      <w:rPr>
        <w:rFonts w:ascii="Calibri" w:eastAsia="Calibri" w:hAnsi="Calibri" w:cs="Calibri"/>
        <w:sz w:val="24"/>
        <w:szCs w:val="24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5EA2" w14:textId="77777777" w:rsidR="00D26326" w:rsidRDefault="00D26326">
      <w:r>
        <w:separator/>
      </w:r>
    </w:p>
  </w:footnote>
  <w:footnote w:type="continuationSeparator" w:id="0">
    <w:p w14:paraId="6436520F" w14:textId="77777777" w:rsidR="00D26326" w:rsidRDefault="00D2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9861" w14:textId="77777777" w:rsidR="000301E7" w:rsidRDefault="000301E7">
    <w:pPr>
      <w:widowControl w:val="0"/>
      <w:ind w:left="145"/>
      <w:rPr>
        <w:rFonts w:ascii="Arial" w:eastAsia="Arial" w:hAnsi="Arial" w:cs="Arial"/>
      </w:rPr>
    </w:pPr>
  </w:p>
  <w:p w14:paraId="0E2D7372" w14:textId="77777777" w:rsidR="000301E7" w:rsidRDefault="00000000">
    <w:pPr>
      <w:widowControl w:val="0"/>
      <w:ind w:left="145"/>
      <w:rPr>
        <w:rFonts w:ascii="Calibri" w:eastAsia="Calibri" w:hAnsi="Calibri" w:cs="Calibri"/>
        <w:sz w:val="40"/>
        <w:szCs w:val="40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31C0ACC0" wp14:editId="47B00868">
          <wp:simplePos x="0" y="0"/>
          <wp:positionH relativeFrom="column">
            <wp:posOffset>5191125</wp:posOffset>
          </wp:positionH>
          <wp:positionV relativeFrom="paragraph">
            <wp:posOffset>76200</wp:posOffset>
          </wp:positionV>
          <wp:extent cx="1000125" cy="904875"/>
          <wp:effectExtent l="0" t="0" r="0" b="0"/>
          <wp:wrapNone/>
          <wp:docPr id="19324766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B2845B" w14:textId="318FD273" w:rsidR="000301E7" w:rsidRDefault="00000000">
    <w:pPr>
      <w:widowControl w:val="0"/>
      <w:spacing w:before="21"/>
      <w:ind w:left="148"/>
      <w:rPr>
        <w:rFonts w:ascii="Calibri" w:eastAsia="Calibri" w:hAnsi="Calibri" w:cs="Calibri"/>
        <w:sz w:val="40"/>
        <w:szCs w:val="4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473F62A2" wp14:editId="333E3D99">
          <wp:extent cx="285750" cy="247650"/>
          <wp:effectExtent l="0" t="0" r="0" b="0"/>
          <wp:docPr id="19324766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40"/>
        <w:szCs w:val="40"/>
      </w:rPr>
      <w:t>QUAINTECH</w:t>
    </w:r>
    <w:r w:rsidR="000136AC" w:rsidRPr="000136AC">
      <w:rPr>
        <w:rFonts w:ascii="Calibri" w:eastAsia="Calibri" w:hAnsi="Calibri" w:cs="Calibri"/>
        <w:sz w:val="40"/>
        <w:szCs w:val="40"/>
      </w:rPr>
      <w:t xml:space="preserve"> </w:t>
    </w:r>
    <w:r w:rsidR="000136AC">
      <w:rPr>
        <w:rFonts w:ascii="Calibri" w:eastAsia="Calibri" w:hAnsi="Calibri" w:cs="Calibri"/>
        <w:sz w:val="40"/>
        <w:szCs w:val="40"/>
      </w:rPr>
      <w:t>INC.</w:t>
    </w:r>
    <w:r>
      <w:rPr>
        <w:rFonts w:ascii="Calibri" w:eastAsia="Calibri" w:hAnsi="Calibri" w:cs="Calibri"/>
        <w:sz w:val="40"/>
        <w:szCs w:val="40"/>
      </w:rPr>
      <w:br/>
    </w:r>
  </w:p>
  <w:p w14:paraId="5B8C436A" w14:textId="77777777" w:rsidR="000301E7" w:rsidRDefault="00030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E7"/>
    <w:rsid w:val="000136AC"/>
    <w:rsid w:val="000148EC"/>
    <w:rsid w:val="000301E7"/>
    <w:rsid w:val="000E152F"/>
    <w:rsid w:val="00125499"/>
    <w:rsid w:val="0033637C"/>
    <w:rsid w:val="00480A7B"/>
    <w:rsid w:val="00567F56"/>
    <w:rsid w:val="006050C7"/>
    <w:rsid w:val="00605BF6"/>
    <w:rsid w:val="007A2E98"/>
    <w:rsid w:val="0089193A"/>
    <w:rsid w:val="008B7ED0"/>
    <w:rsid w:val="00AF615D"/>
    <w:rsid w:val="00CB49CA"/>
    <w:rsid w:val="00D0385E"/>
    <w:rsid w:val="00D26326"/>
    <w:rsid w:val="00D3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3783"/>
  <w15:docId w15:val="{60D6496C-454A-964E-8D0F-2DCBC010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13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6AC"/>
  </w:style>
  <w:style w:type="paragraph" w:styleId="Footer">
    <w:name w:val="footer"/>
    <w:basedOn w:val="Normal"/>
    <w:link w:val="FooterChar"/>
    <w:uiPriority w:val="99"/>
    <w:unhideWhenUsed/>
    <w:rsid w:val="00013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6AC"/>
  </w:style>
  <w:style w:type="character" w:styleId="Hyperlink">
    <w:name w:val="Hyperlink"/>
    <w:basedOn w:val="DefaultParagraphFont"/>
    <w:uiPriority w:val="99"/>
    <w:unhideWhenUsed/>
    <w:rsid w:val="008B7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newm@aqua-in-te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qua-in-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newm@aqua-in-te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nrgBNXB3wF32pCUulMF+hobSA==">CgMxLjA4AHIhMXpnUjI1Zl85WWpLNmRVZnFaWC1IVVYtLXFBU2U3aHBW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Matthew Newman</cp:lastModifiedBy>
  <cp:revision>2</cp:revision>
  <dcterms:created xsi:type="dcterms:W3CDTF">2024-09-26T15:22:00Z</dcterms:created>
  <dcterms:modified xsi:type="dcterms:W3CDTF">2024-09-26T15:22:00Z</dcterms:modified>
</cp:coreProperties>
</file>